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Universal Digital Involvement</w:t>
      </w:r>
    </w:p>
    <w:p>
      <w:pPr>
        <w:spacing w:after="80"/>
      </w:pPr>
      <w:r>
        <w:rPr>
          <w:color w:val="2E5E8C"/>
          <w:sz w:val="28"/>
          <w:szCs w:val="28"/>
        </w:rPr>
        <w:t xml:space="preserve">A proposal</w:t>
      </w:r>
    </w:p>
    <w:p>
      <w:pPr>
        <w:spacing w:after="40"/>
      </w:pPr>
      <w:r>
        <w:rPr>
          <w:color w:val="555555"/>
        </w:rPr>
        <w:t xml:space="preserve">Charli-Jo Tyrer</w:t>
      </w:r>
    </w:p>
    <w:p>
      <w:pPr>
        <w:spacing w:after="160" w:line="300"/>
      </w:pPr>
      <w:r>
        <w:rPr>
          <w:color w:val="555555"/>
        </w:rPr>
        <w:t xml:space="preserve">Version 1.1, October 2026</w:t>
      </w:r>
    </w:p>
    <w:p>
      <w:pPr>
        <w:pStyle w:val="Heading1"/>
      </w:pPr>
      <w:r>
        <w:t xml:space="preserve">The principle</w:t>
      </w:r>
    </w:p>
    <w:p>
      <w:pPr>
        <w:pBdr>
          <w:left w:val="single" w:color="2E5E8C" w:sz="14" w:space="12"/>
        </w:pBdr>
        <w:spacing w:after="220" w:before="120" w:line="320"/>
        <w:ind w:left="567" w:right="567"/>
      </w:pPr>
      <w:r>
        <w:rPr>
          <w:i/>
          <w:iCs/>
          <w:sz w:val="25"/>
          <w:szCs w:val="25"/>
        </w:rPr>
        <w:t xml:space="preserve">A service built for universal digital involvement is designed from the outset to be open to all people, and to the agents they authorise to act on their behalf. People may use it directly, through assistive technology, or by delegating tasks to an agent. None of these forms of participation is treated as an exception requiring special accommodation.</w:t>
      </w:r>
    </w:p>
    <w:p>
      <w:pPr>
        <w:spacing w:after="160" w:line="300"/>
      </w:pPr>
      <w:r>
        <w:t xml:space="preserve">Under this principle, getting people involved stops being a department, a programme or a concession. It becomes a property of the service itself, and it serves everyone with a stake in being understood: disabled people, every other user, and every organisation that wants agents to find it and act on what it offers.</w:t>
      </w:r>
    </w:p>
    <w:p>
      <w:pPr>
        <w:pStyle w:val="Heading1"/>
      </w:pPr>
      <w:r>
        <w:t xml:space="preserve">Why “involvement”</w:t>
      </w:r>
    </w:p>
    <w:p>
      <w:pPr>
        <w:spacing w:after="160" w:line="300"/>
      </w:pPr>
      <w:r>
        <w:t xml:space="preserve">Digital inclusion is a recognised field, but the word has become passive. You are included by someone else, often after being labelled as needing it. Involvement is active: you are in the service, doing something, on your own terms or through an agent you chose. It also speaks to two audiences at once. A blind member of a charity and a business that wants AI agents to recommend it are asking for the same thing: to be fully involved in how services are found, understood and used.</w:t>
      </w:r>
    </w:p>
    <w:p>
      <w:pPr>
        <w:spacing w:after="160" w:line="300"/>
      </w:pPr>
      <w:r>
        <w:t xml:space="preserve">In the UK, “involvement” also means user involvement and co-production, where people help design the services they use. That meaning is welcome here, and disabled people leading evaluation is part of the principle. But the main claim is wider: every person, and every authorised agent, can take part in a service on equal terms.</w:t>
      </w:r>
    </w:p>
    <w:p>
      <w:pPr>
        <w:pStyle w:val="Heading1"/>
      </w:pPr>
      <w:r>
        <w:t xml:space="preserve">The problem with inclusion as we practise it</w:t>
      </w:r>
    </w:p>
    <w:p>
      <w:pPr>
        <w:spacing w:after="160" w:line="300"/>
      </w:pPr>
      <w:r>
        <w:t xml:space="preserve">For most of the digital era, inclusion has been remedial. We build digital services, then we worry about the people who can’t use them. We provide training, assistive technology, alternative formats, helplines and assisted-digital routes to bring those people in. However well-intentioned, this makes inclusion something added afterwards, aimed at groups labelled disadvantaged: disabled people, older people, people with little digital experience, people without the right device or connection.</w:t>
      </w:r>
    </w:p>
    <w:p>
      <w:pPr>
        <w:spacing w:after="160" w:line="300"/>
      </w:pPr>
      <w:r>
        <w:t xml:space="preserve">That model asks the wrong question. It asks: who are we leaving out, and how can we help them in? It assumes the service is fixed and the people are the variable. It makes inclusion a cost centre, something to be funded, justified and, when money is short, cut.</w:t>
      </w:r>
    </w:p>
    <w:p>
      <w:pPr>
        <w:spacing w:after="160" w:line="300"/>
      </w:pPr>
      <w:r>
        <w:t xml:space="preserve">Universal Digital Involvement asks a different question:</w:t>
      </w:r>
    </w:p>
    <w:p>
      <w:pPr>
        <w:pBdr>
          <w:left w:val="single" w:color="2E5E8C" w:sz="14" w:space="12"/>
        </w:pBdr>
        <w:spacing w:after="220" w:before="120" w:line="320"/>
        <w:ind w:left="567" w:right="567"/>
      </w:pPr>
      <w:r>
        <w:rPr>
          <w:i/>
          <w:iCs/>
          <w:sz w:val="25"/>
          <w:szCs w:val="25"/>
        </w:rPr>
        <w:t xml:space="preserve">How do we design a service that is open to everyone, whether they approach it directly or through an agent?</w:t>
      </w:r>
    </w:p>
    <w:p>
      <w:pPr>
        <w:pStyle w:val="Heading1"/>
      </w:pPr>
      <w:r>
        <w:t xml:space="preserve">Where this comes from</w:t>
      </w:r>
    </w:p>
    <w:p>
      <w:pPr>
        <w:spacing w:after="160" w:line="300"/>
      </w:pPr>
      <w:r>
        <w:t xml:space="preserve">The idea that design should begin with everyone, rather than accommodate exceptions afterwards, is not new, and this proposal stands deliberately in that tradition. The social model of disability located exclusion in the design of the world rather than in people’s bodies. Universal design, developed by the architect Ron Mace and colleagues, argued that environments should be usable by all people without adaptation. Inclusive design in the UK, Design for All in Europe and Universal Design for Learning in education each carried the same conviction into their own fields.</w:t>
      </w:r>
    </w:p>
    <w:p>
      <w:pPr>
        <w:spacing w:after="160" w:line="300"/>
      </w:pPr>
      <w:r>
        <w:t xml:space="preserve">Universal Digital Involvement takes that conviction and does two things with it.</w:t>
      </w:r>
    </w:p>
    <w:p>
      <w:pPr>
        <w:spacing w:after="160" w:line="300"/>
      </w:pPr>
      <w:r>
        <w:rPr>
          <w:b/>
          <w:bCs/>
        </w:rPr>
        <w:t xml:space="preserve">It applies it to digital services as whole systems, not just interfaces. </w:t>
      </w:r>
      <w:r>
        <w:t xml:space="preserve">Accessible pages are necessary but not enough. A person can perceive and operate every page of a website and still be unable to find the right service, complete an application, or establish whether it succeeded. Involvement has to hold across the whole journey, from what someone wants to what they can prove happened.</w:t>
      </w:r>
    </w:p>
    <w:p>
      <w:pPr>
        <w:spacing w:after="160" w:line="300"/>
      </w:pPr>
      <w:r>
        <w:rPr>
          <w:b/>
          <w:bCs/>
        </w:rPr>
        <w:t xml:space="preserve">It recognises agents as a legitimate way to participate. </w:t>
      </w:r>
      <w:r>
        <w:t xml:space="preserve">This is the new part. Increasingly, people will approach organisations through AI agents acting on their behalf. Some will do so because of disability, others because of time, language, confidence or plain preference. Delegating to an agent is not a workaround for people who can’t manage the “real” interface. It is participation. A service that turns away an authorised agent turns away the person who sent it.</w:t>
      </w:r>
    </w:p>
    <w:p>
      <w:pPr>
        <w:pStyle w:val="Heading1"/>
      </w:pPr>
      <w:r>
        <w:t xml:space="preserve">What the principle means</w:t>
      </w:r>
    </w:p>
    <w:p>
      <w:pPr>
        <w:pStyle w:val="Heading2"/>
      </w:pPr>
      <w:r>
        <w:t xml:space="preserve">All people</w:t>
      </w:r>
    </w:p>
    <w:p>
      <w:pPr>
        <w:spacing w:after="160" w:line="300"/>
      </w:pPr>
      <w:r>
        <w:t xml:space="preserve">Not only disabled people, older people or those categorised as needing help, but everyone. Every route into the service, whether by screen, screen reader, voice, switch, braille display, phone, or an agent, is a first-class route, designed and tested as such.</w:t>
      </w:r>
    </w:p>
    <w:p>
      <w:pPr>
        <w:spacing w:after="160" w:line="300"/>
      </w:pPr>
      <w:r>
        <w:t xml:space="preserve">This is a design commitment, not a promise that one interface can meet every need in every circumstance. No single route can. The commitment is that a service offers equitable routes to participation, tests actively for who is excluded, and provides effective alternatives where one route cannot serve someone, without treating those people as exceptions.</w:t>
      </w:r>
    </w:p>
    <w:p>
      <w:pPr>
        <w:pStyle w:val="Heading2"/>
      </w:pPr>
      <w:r>
        <w:t xml:space="preserve">And the agents they authorise</w:t>
      </w:r>
    </w:p>
    <w:p>
      <w:pPr>
        <w:spacing w:after="160" w:line="300"/>
      </w:pPr>
      <w:r>
        <w:t xml:space="preserve">Agents are designed for, not tolerated. A service’s information, capabilities, rules and outcomes are available to an authorised agent in a form it can reliably understand and act on, with no need to impersonate a sighted person clicking through a screen.</w:t>
      </w:r>
    </w:p>
    <w:p>
      <w:pPr>
        <w:pStyle w:val="Heading2"/>
      </w:pPr>
      <w:r>
        <w:t xml:space="preserve">Within legitimate authority</w:t>
      </w:r>
    </w:p>
    <w:p>
      <w:pPr>
        <w:spacing w:after="160" w:line="300"/>
      </w:pPr>
      <w:r>
        <w:t xml:space="preserve">Openness to agents does not mean unrestricted access for any software that turns up. Authentication, consent, privacy and security remain essential. What changes is the default: the ability to act through an authorised agent is designed in, with clear limits, rather than blocked by habit or bolted on reluctantly. Permissions are understandable, limited and withdrawable. An agent should never need to disclose someone’s disability or personal circumstances simply to discover what a service offers.</w:t>
      </w:r>
    </w:p>
    <w:p>
      <w:pPr>
        <w:spacing w:after="160" w:line="300"/>
      </w:pPr>
      <w:r>
        <w:t xml:space="preserve">Organisations can have good reasons to restrict automated access. The test is whether a restriction is proportionate to a real purpose, and whether meaningful authorised participation remains possible. The key is to distinguish why a machine has arrived. Declining to have content used for model training, or refusing bulk scraping, is a legitimate choice. Turning away an agent acting for a particular person is a different act: it shuts that person out. A blanket block that cannot tell the two apart fails the test.</w:t>
      </w:r>
    </w:p>
    <w:p>
      <w:pPr>
        <w:pStyle w:val="Heading2"/>
      </w:pPr>
      <w:r>
        <w:t xml:space="preserve">With people in control</w:t>
      </w:r>
    </w:p>
    <w:p>
      <w:pPr>
        <w:spacing w:after="160" w:line="300"/>
      </w:pPr>
      <w:r>
        <w:t xml:space="preserve">Involvement through an agent is only involvement if the person stays in charge. They must be able to understand what is being done in their name, decide what is permitted, verify what happened and correct it when it goes wrong. An agent that acts confidently and reports success it cannot evidence is not involvement. It is a new kind of exclusion with better manners.</w:t>
      </w:r>
    </w:p>
    <w:p>
      <w:pPr>
        <w:pStyle w:val="Heading1"/>
      </w:pPr>
      <w:r>
        <w:t xml:space="preserve">A guard against “everyone”</w:t>
      </w:r>
    </w:p>
    <w:p>
      <w:pPr>
        <w:spacing w:after="160" w:line="300"/>
      </w:pPr>
      <w:r>
        <w:t xml:space="preserve">Designing for everyone has a known failure mode. It can quietly become designing for an imagined average person and calling the result universal. Specific barriers vanish into the general case, and the people who experience them stop being the ones who judge the outcome.</w:t>
      </w:r>
    </w:p>
    <w:p>
      <w:pPr>
        <w:spacing w:after="160" w:line="300"/>
      </w:pPr>
      <w:r>
        <w:t xml:space="preserve">Universal Digital Involvement rules this out explicitly:</w:t>
      </w:r>
    </w:p>
    <w:p>
      <w:pPr>
        <w:pBdr>
          <w:left w:val="single" w:color="2E5E8C" w:sz="14" w:space="12"/>
        </w:pBdr>
        <w:spacing w:after="220" w:before="120" w:line="320"/>
        <w:ind w:left="567" w:right="567"/>
      </w:pPr>
      <w:r>
        <w:rPr>
          <w:i/>
          <w:iCs/>
          <w:sz w:val="25"/>
          <w:szCs w:val="25"/>
        </w:rPr>
        <w:t xml:space="preserve">Designing for everyone does not mean designing for no one in particular. Disabled people remain the test of whether a service is genuinely open, and they lead its evaluation.</w:t>
      </w:r>
    </w:p>
    <w:p>
      <w:pPr>
        <w:spacing w:after="160" w:line="300"/>
      </w:pPr>
      <w:r>
        <w:t xml:space="preserve">WCAG and equivalent standards remain the baseline for interfaces. The principle sits above them, not instead of them.</w:t>
      </w:r>
    </w:p>
    <w:p>
      <w:pPr>
        <w:pStyle w:val="Heading1"/>
      </w:pPr>
      <w:r>
        <w:t xml:space="preserve">Five commitments</w:t>
      </w:r>
    </w:p>
    <w:p>
      <w:pPr>
        <w:spacing w:after="160" w:line="300"/>
      </w:pPr>
      <w:r>
        <w:t xml:space="preserve">An organisation adopting Universal Digital Involvement commits to the following:</w:t>
      </w:r>
    </w:p>
    <w:p>
      <w:pPr>
        <w:pStyle w:val="ListParagraph"/>
        <w:numPr>
          <w:ilvl w:val="0"/>
          <w:numId w:val="2"/>
        </w:numPr>
        <w:spacing w:after="120" w:line="300"/>
      </w:pPr>
      <w:r>
        <w:rPr>
          <w:b/>
          <w:bCs/>
        </w:rPr>
        <w:t xml:space="preserve">Involvement is designed in, not added on. </w:t>
      </w:r>
      <w:r>
        <w:t xml:space="preserve">Every service is specified from the start for direct use, assistive technology and authorised agents.</w:t>
      </w:r>
    </w:p>
    <w:p>
      <w:pPr>
        <w:pStyle w:val="ListParagraph"/>
        <w:numPr>
          <w:ilvl w:val="0"/>
          <w:numId w:val="2"/>
        </w:numPr>
        <w:spacing w:after="120" w:line="300"/>
      </w:pPr>
      <w:r>
        <w:rPr>
          <w:b/>
          <w:bCs/>
        </w:rPr>
        <w:t xml:space="preserve">Every route is first-class. </w:t>
      </w:r>
      <w:r>
        <w:t xml:space="preserve">No form of participation is a fallback, and none is quietly unsupported. Where one route cannot serve someone, an effective alternative is provided.</w:t>
      </w:r>
    </w:p>
    <w:p>
      <w:pPr>
        <w:pStyle w:val="ListParagraph"/>
        <w:numPr>
          <w:ilvl w:val="0"/>
          <w:numId w:val="2"/>
        </w:numPr>
        <w:spacing w:after="120" w:line="300"/>
      </w:pPr>
      <w:r>
        <w:rPr>
          <w:b/>
          <w:bCs/>
        </w:rPr>
        <w:t xml:space="preserve">Agents act within clear authority. </w:t>
      </w:r>
      <w:r>
        <w:t xml:space="preserve">Permissions are limited, understandable and withdrawable, data is kept to the minimum needed, and any restriction on automated access is proportionate and leaves authorised participation possible.</w:t>
      </w:r>
    </w:p>
    <w:p>
      <w:pPr>
        <w:pStyle w:val="ListParagraph"/>
        <w:numPr>
          <w:ilvl w:val="0"/>
          <w:numId w:val="2"/>
        </w:numPr>
        <w:spacing w:after="120" w:line="300"/>
      </w:pPr>
      <w:r>
        <w:rPr>
          <w:b/>
          <w:bCs/>
        </w:rPr>
        <w:t xml:space="preserve">Outcomes are evidenced. </w:t>
      </w:r>
      <w:r>
        <w:t xml:space="preserve">People, and their agents, can establish what happened, not merely be told that it did.</w:t>
      </w:r>
    </w:p>
    <w:p>
      <w:pPr>
        <w:pStyle w:val="ListParagraph"/>
        <w:numPr>
          <w:ilvl w:val="0"/>
          <w:numId w:val="2"/>
        </w:numPr>
        <w:spacing w:after="120" w:line="300"/>
      </w:pPr>
      <w:r>
        <w:rPr>
          <w:b/>
          <w:bCs/>
        </w:rPr>
        <w:t xml:space="preserve">Disabled people lead evaluation. </w:t>
      </w:r>
      <w:r>
        <w:t xml:space="preserve">Services are judged open when disabled people can complete real tasks, directly and through delegation.</w:t>
      </w:r>
    </w:p>
    <w:p>
      <w:pPr>
        <w:pStyle w:val="Heading1"/>
      </w:pPr>
      <w:r>
        <w:t xml:space="preserve">How it fits with method and standards</w:t>
      </w:r>
    </w:p>
    <w:p>
      <w:pPr>
        <w:spacing w:after="160" w:line="300"/>
      </w:pPr>
      <w:r>
        <w:t xml:space="preserve">A principle needs ways to be met. Universal Digital Involvement is the principle. Two pieces of my own work are ways of delivering it, a method and a standard, and others are welcome: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0"/>
        <w:gridCol w:w="6326"/>
      </w:tblGrid>
      <w:tr>
        <w:trPr>
          <w:cantSplit/>
          <w:tblHeader/>
        </w:trPr>
        <w:tc>
          <w:tcPr>
            <w:tcW w:type="dxa" w:w="2700"/>
            <w:shd w:fill="DCE6F0" w:color="auto" w:val="clear"/>
            <w:tcMar>
              <w:top w:type="dxa" w:w="80"/>
              <w:left w:type="dxa" w:w="120"/>
              <w:bottom w:type="dxa" w:w="80"/>
              <w:right w:type="dxa" w:w="120"/>
            </w:tcMar>
          </w:tcPr>
          <w:p>
            <w:r>
              <w:rPr>
                <w:b/>
                <w:bCs/>
              </w:rPr>
              <w:t xml:space="preserve">Layer</w:t>
            </w:r>
          </w:p>
        </w:tc>
        <w:tc>
          <w:tcPr>
            <w:tcW w:type="dxa" w:w="6326"/>
            <w:shd w:fill="DCE6F0" w:color="auto" w:val="clear"/>
            <w:tcMar>
              <w:top w:type="dxa" w:w="80"/>
              <w:left w:type="dxa" w:w="120"/>
              <w:bottom w:type="dxa" w:w="80"/>
              <w:right w:type="dxa" w:w="120"/>
            </w:tcMar>
          </w:tcPr>
          <w:p>
            <w:r>
              <w:rPr>
                <w:b/>
                <w:bCs/>
              </w:rPr>
              <w:t xml:space="preserve">What it does</w:t>
            </w:r>
          </w:p>
        </w:tc>
      </w:tr>
      <w:tr>
        <w:trPr>
          <w:cantSplit/>
        </w:trPr>
        <w:tc>
          <w:tcPr>
            <w:tcW w:type="dxa" w:w="2700"/>
            <w:tcMar>
              <w:top w:type="dxa" w:w="80"/>
              <w:left w:type="dxa" w:w="120"/>
              <w:bottom w:type="dxa" w:w="80"/>
              <w:right w:type="dxa" w:w="120"/>
            </w:tcMar>
          </w:tcPr>
          <w:p>
            <w:r>
              <w:rPr>
                <w:b w:val="false"/>
                <w:bCs w:val="false"/>
              </w:rPr>
              <w:t xml:space="preserve">Principle</w:t>
            </w:r>
          </w:p>
        </w:tc>
        <w:tc>
          <w:tcPr>
            <w:tcW w:type="dxa" w:w="6326"/>
            <w:tcMar>
              <w:top w:type="dxa" w:w="80"/>
              <w:left w:type="dxa" w:w="120"/>
              <w:bottom w:type="dxa" w:w="80"/>
              <w:right w:type="dxa" w:w="120"/>
            </w:tcMar>
          </w:tcPr>
          <w:p>
            <w:r>
              <w:rPr>
                <w:b w:val="false"/>
                <w:bCs w:val="false"/>
              </w:rPr>
              <w:t xml:space="preserve">Universal Digital Involvement: services are open to all people and to the agents they authorise.</w:t>
            </w:r>
          </w:p>
        </w:tc>
      </w:tr>
      <w:tr>
        <w:trPr>
          <w:cantSplit/>
        </w:trPr>
        <w:tc>
          <w:tcPr>
            <w:tcW w:type="dxa" w:w="2700"/>
            <w:tcMar>
              <w:top w:type="dxa" w:w="80"/>
              <w:left w:type="dxa" w:w="120"/>
              <w:bottom w:type="dxa" w:w="80"/>
              <w:right w:type="dxa" w:w="120"/>
            </w:tcMar>
          </w:tcPr>
          <w:p>
            <w:r>
              <w:rPr>
                <w:b w:val="false"/>
                <w:bCs w:val="false"/>
              </w:rPr>
              <w:t xml:space="preserve">Method</w:t>
            </w:r>
          </w:p>
        </w:tc>
        <w:tc>
          <w:tcPr>
            <w:tcW w:type="dxa" w:w="6326"/>
            <w:tcMar>
              <w:top w:type="dxa" w:w="80"/>
              <w:left w:type="dxa" w:w="120"/>
              <w:bottom w:type="dxa" w:w="80"/>
              <w:right w:type="dxa" w:w="120"/>
            </w:tcMar>
          </w:tcPr>
          <w:p>
            <w:r>
              <w:rPr>
                <w:b w:val="false"/>
                <w:bCs w:val="false"/>
              </w:rPr>
              <w:t xml:space="preserve">Agent-First Accessible Service Design: analyses an organisation from outside, models its services around human intentions, and builds and tests them so that people can complete tasks directly or through agents, with evidence and control.</w:t>
            </w:r>
          </w:p>
        </w:tc>
      </w:tr>
      <w:tr>
        <w:trPr>
          <w:cantSplit/>
        </w:trPr>
        <w:tc>
          <w:tcPr>
            <w:tcW w:type="dxa" w:w="2700"/>
            <w:tcMar>
              <w:top w:type="dxa" w:w="80"/>
              <w:left w:type="dxa" w:w="120"/>
              <w:bottom w:type="dxa" w:w="80"/>
              <w:right w:type="dxa" w:w="120"/>
            </w:tcMar>
          </w:tcPr>
          <w:p>
            <w:r>
              <w:rPr>
                <w:b w:val="false"/>
                <w:bCs w:val="false"/>
              </w:rPr>
              <w:t xml:space="preserve">Information standard</w:t>
            </w:r>
          </w:p>
        </w:tc>
        <w:tc>
          <w:tcPr>
            <w:tcW w:type="dxa" w:w="6326"/>
            <w:tcMar>
              <w:top w:type="dxa" w:w="80"/>
              <w:left w:type="dxa" w:w="120"/>
              <w:bottom w:type="dxa" w:w="80"/>
              <w:right w:type="dxa" w:w="120"/>
            </w:tcMar>
          </w:tcPr>
          <w:p>
            <w:r>
              <w:rPr>
                <w:b w:val="false"/>
                <w:bCs w:val="false"/>
              </w:rPr>
              <w:t xml:space="preserve">ZIC (Zero Information Casualty): a specification that checks whatever a service publishes reaches every reader, human, assistive technology or agent, without loss on the way. It also distinguishes the purposes for which machines arrive, such as search, agents acting for people and model training, so an organisation can decline some purposes without turning away the people its services exist for.</w:t>
            </w:r>
          </w:p>
        </w:tc>
      </w:tr>
      <w:tr>
        <w:trPr>
          <w:cantSplit/>
        </w:trPr>
        <w:tc>
          <w:tcPr>
            <w:tcW w:type="dxa" w:w="2700"/>
            <w:tcMar>
              <w:top w:type="dxa" w:w="80"/>
              <w:left w:type="dxa" w:w="120"/>
              <w:bottom w:type="dxa" w:w="80"/>
              <w:right w:type="dxa" w:w="120"/>
            </w:tcMar>
          </w:tcPr>
          <w:p>
            <w:r>
              <w:rPr>
                <w:b w:val="false"/>
                <w:bCs w:val="false"/>
              </w:rPr>
              <w:t xml:space="preserve">Interfaces</w:t>
            </w:r>
          </w:p>
        </w:tc>
        <w:tc>
          <w:tcPr>
            <w:tcW w:type="dxa" w:w="6326"/>
            <w:tcMar>
              <w:top w:type="dxa" w:w="80"/>
              <w:left w:type="dxa" w:w="120"/>
              <w:bottom w:type="dxa" w:w="80"/>
              <w:right w:type="dxa" w:w="120"/>
            </w:tcMar>
          </w:tcPr>
          <w:p>
            <w:r>
              <w:rPr>
                <w:b w:val="false"/>
                <w:bCs w:val="false"/>
              </w:rPr>
              <w:t xml:space="preserve">WCAG and equivalent standards: the established baseline for accessible human interaction.</w:t>
            </w:r>
          </w:p>
        </w:tc>
      </w:tr>
    </w:tbl>
    <w:p>
      <w:pPr>
        <w:spacing w:after="60"/>
      </w:pPr>
    </w:p>
    <w:p>
      <w:pPr>
        <w:spacing w:after="160" w:line="300"/>
      </w:pPr>
      <w:r>
        <w:t xml:space="preserve">Each layer can be adopted on its own. A charity can commit to the principle without adopting any particular method or standard.</w:t>
      </w:r>
    </w:p>
    <w:p>
      <w:pPr>
        <w:pStyle w:val="Heading1"/>
      </w:pPr>
      <w:r>
        <w:t xml:space="preserve">For publishers and agent visibility</w:t>
      </w:r>
    </w:p>
    <w:p>
      <w:pPr>
        <w:spacing w:after="160" w:line="300"/>
      </w:pPr>
      <w:r>
        <w:t xml:space="preserve">This is not only a disability principle. Organisations working on answer engine optimisation, generative engine optimisation and agent visibility want the same outcome from the commercial side: agents that can find a business, understand what it offers and act on it, whether booking, buying or enquiring. The architecture that lets a blind person’s agent complete a course application is the architecture that lets anyone’s agent complete a purchase. One build serves both.</w:t>
      </w:r>
    </w:p>
    <w:p>
      <w:pPr>
        <w:spacing w:after="160" w:line="300"/>
      </w:pPr>
      <w:r>
        <w:t xml:space="preserve">Not every service wants to be found by every agent. A refuge, a safeguarding service or a confidential helpline may have sound reasons to limit discovery. Universal Digital Involvement applies to them just as fully: such services should still be usable by the people entitled to them, directly or through an authorised agent, even when they are deliberately hard for everyone else to find.</w:t>
      </w:r>
    </w:p>
    <w:p>
      <w:pPr>
        <w:spacing w:after="160" w:line="300"/>
      </w:pPr>
      <w:r>
        <w:t xml:space="preserve">That changes the economics of accessibility. For decades it has been framed as a cost incurred for a minority. Agent involvement is framed as revenue available from everyone. When the same work delivers both, accessibility stops being the line finance cuts and becomes the work marketing asks for.</w:t>
      </w:r>
    </w:p>
    <w:p>
      <w:pPr>
        <w:spacing w:after="160" w:line="300"/>
      </w:pPr>
      <w:r>
        <w:t xml:space="preserve">One condition applies. Universal Digital Involvement is about being understood truthfully, not about being chosen. Services should be honestly legible to agents: accurate about what they offer, clear about their rules, and able to evidence what happened. Techniques that game agents into recommending a service, or that hide its terms, work against the principle. Every step from intention to outcome counts, including evidence and correction, not only the steps that lead to a sale.</w:t>
      </w:r>
    </w:p>
    <w:p>
      <w:pPr>
        <w:pStyle w:val="Heading1"/>
      </w:pPr>
      <w:r>
        <w:t xml:space="preserve">What changes</w:t>
      </w:r>
    </w:p>
    <w:p>
      <w:pPr>
        <w:spacing w:after="160" w:line="300"/>
      </w:pPr>
      <w:r>
        <w:t xml:space="preserve">If Universal Digital Involvement is taken seriously, several familiar things look different.</w:t>
      </w:r>
    </w:p>
    <w:p>
      <w:pPr>
        <w:pStyle w:val="ListParagraph"/>
        <w:numPr>
          <w:ilvl w:val="0"/>
          <w:numId w:val="3"/>
        </w:numPr>
        <w:spacing w:after="100" w:line="300"/>
      </w:pPr>
      <w:r>
        <w:rPr>
          <w:b/>
          <w:bCs/>
        </w:rPr>
        <w:t xml:space="preserve">Involvement moves from budget line to architecture. </w:t>
      </w:r>
      <w:r>
        <w:t xml:space="preserve">It is no longer a programme that can be cut, because it is part of how the service works.</w:t>
      </w:r>
    </w:p>
    <w:p>
      <w:pPr>
        <w:pStyle w:val="ListParagraph"/>
        <w:numPr>
          <w:ilvl w:val="0"/>
          <w:numId w:val="3"/>
        </w:numPr>
        <w:spacing w:after="100" w:line="300"/>
      </w:pPr>
      <w:r>
        <w:rPr>
          <w:b/>
          <w:bCs/>
        </w:rPr>
        <w:t xml:space="preserve">Assisted digital becomes one route among many. </w:t>
      </w:r>
      <w:r>
        <w:t xml:space="preserve">Human help remains vital, but it is no longer the only answer for people the main design left behind.</w:t>
      </w:r>
    </w:p>
    <w:p>
      <w:pPr>
        <w:pStyle w:val="ListParagraph"/>
        <w:numPr>
          <w:ilvl w:val="0"/>
          <w:numId w:val="3"/>
        </w:numPr>
        <w:spacing w:after="100" w:line="300"/>
      </w:pPr>
      <w:r>
        <w:rPr>
          <w:b/>
          <w:bCs/>
        </w:rPr>
        <w:t xml:space="preserve">Blocking agents becomes an involvement question. </w:t>
      </w:r>
      <w:r>
        <w:t xml:space="preserve">Turning away an authorised agent is assessed the same way as turning away a person.</w:t>
      </w:r>
    </w:p>
    <w:p>
      <w:pPr>
        <w:pStyle w:val="ListParagraph"/>
        <w:numPr>
          <w:ilvl w:val="0"/>
          <w:numId w:val="3"/>
        </w:numPr>
        <w:spacing w:after="100" w:line="300"/>
      </w:pPr>
      <w:r>
        <w:rPr>
          <w:b/>
          <w:bCs/>
        </w:rPr>
        <w:t xml:space="preserve">Accessibility work moves upstream. </w:t>
      </w:r>
      <w:r>
        <w:t xml:space="preserve">Instead of auditing finished systems, or simulating disabled users to find faults afterwards, disabled practitioners shape services before they are built.</w:t>
      </w:r>
    </w:p>
    <w:p>
      <w:pPr>
        <w:pStyle w:val="Heading1"/>
      </w:pPr>
      <w:r>
        <w:t xml:space="preserve">An invitation</w:t>
      </w:r>
    </w:p>
    <w:p>
      <w:pPr>
        <w:spacing w:after="160" w:line="300"/>
      </w:pPr>
      <w:r>
        <w:t xml:space="preserve">This is a proposal, not a finished doctrine. I’m putting it forward because the arrival of agents is the moment to settle the question. Either agents become one more thing that digital inclusion has to catch up with, or we decide now that services are designed for everyone, however they choose to arrive.</w:t>
      </w:r>
    </w:p>
    <w:p>
      <w:pPr>
        <w:spacing w:after="160" w:line="300"/>
      </w:pPr>
      <w:r>
        <w:t xml:space="preserve">I would welcome challenge, refinement and, above all, organisations willing to test it on real services with the people who use them.</w:t>
      </w:r>
    </w:p>
    <w:p>
      <w:pPr>
        <w:pBdr>
          <w:left w:val="single" w:color="2E5E8C" w:sz="14" w:space="12"/>
        </w:pBdr>
        <w:spacing w:after="220" w:before="120" w:line="320"/>
        <w:ind w:left="567" w:right="567"/>
      </w:pPr>
      <w:r>
        <w:rPr>
          <w:i/>
          <w:iCs/>
          <w:sz w:val="25"/>
          <w:szCs w:val="25"/>
        </w:rPr>
        <w:t xml:space="preserve">Involvement is not something we do for people who might otherwise be left out. It is a property of a well-designed service, and everyone is in it.</w:t>
      </w:r>
    </w:p>
    <w:sectPr>
      <w:footerReference w:type="default" r:id="rId6"/>
      <w:pgSz w:w="11906" w:h="16838"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8"/>
        <w:szCs w:val="18"/>
      </w:rPr>
      <w:t xml:space="preserve">Universal Digital Involvement v1.1 · Charli-Jo Tyrer · page </w:t>
    </w:r>
    <w:r>
      <w:rPr>
        <w:color w:val="777777"/>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abstractNum w:abstractNumId="3"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Pr>
    </w:rPrDefault>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00"/>
    </w:pPr>
    <w:rPr>
      <w:b/>
      <w:bCs/>
      <w:color w:val="1F3A5A"/>
      <w:sz w:val="48"/>
      <w:szCs w:val="48"/>
    </w:rPr>
  </w:style>
  <w:style w:type="paragraph" w:styleId="Heading1">
    <w:name w:val="Heading 1"/>
    <w:basedOn w:val="Normal"/>
    <w:next w:val="Normal"/>
    <w:qFormat/>
    <w:pPr>
      <w:keepNext/>
      <w:spacing w:after="140" w:before="340"/>
      <w:outlineLvl w:val="0"/>
    </w:pPr>
    <w:rPr>
      <w:b/>
      <w:bCs/>
      <w:color w:val="1F3A5A"/>
      <w:sz w:val="30"/>
      <w:szCs w:val="30"/>
    </w:rPr>
  </w:style>
  <w:style w:type="paragraph" w:styleId="Heading2">
    <w:name w:val="Heading 2"/>
    <w:basedOn w:val="Normal"/>
    <w:next w:val="Normal"/>
    <w:qFormat/>
    <w:pPr>
      <w:keepNext/>
      <w:spacing w:after="100" w:before="220"/>
      <w:outlineLvl w:val="1"/>
    </w:pPr>
    <w:rPr>
      <w:b/>
      <w:bCs/>
      <w:color w:val="2E5E8C"/>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Universal Digital Involvement: a proposal</dc:title>
  <dc:creator>Charli-Jo Tyrer</dc:creator>
  <cp:lastModifiedBy>Un-named</cp:lastModifiedBy>
  <cp:revision>1</cp:revision>
  <dcterms:created xsi:type="dcterms:W3CDTF">2026-10-30T10:06:27.940Z</dcterms:created>
  <dcterms:modified xsi:type="dcterms:W3CDTF">2026-10-30T10:06:27.948Z</dcterms:modified>
</cp:coreProperties>
</file>

<file path=docProps/custom.xml><?xml version="1.0" encoding="utf-8"?>
<Properties xmlns="http://schemas.openxmlformats.org/officeDocument/2006/custom-properties" xmlns:vt="http://schemas.openxmlformats.org/officeDocument/2006/docPropsVTypes"/>
</file>